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7D" w:rsidRDefault="00D91A1E">
      <w:pPr>
        <w:rPr>
          <w:rFonts w:ascii="Verdana" w:eastAsia="Verdana" w:hAnsi="Verdana" w:cs="Verdana"/>
          <w:b/>
          <w:sz w:val="24"/>
          <w:szCs w:val="24"/>
          <w:highlight w:val="green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What is Khan Academy?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Khan Academy offers practice exercises, instructional videos, and a personalized learning dashboard that empower learners to study at their own pace in and outside of the classroom. We tackle math, science, computer programming, history, art history, econo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mics, and more. Our math missions guide learners from kindergarten to calculus using state-of-the-art, adaptive technology that identifies strengths and learning gaps. </w:t>
      </w:r>
    </w:p>
    <w:p w:rsidR="0044477D" w:rsidRDefault="0044477D">
      <w:pPr>
        <w:rPr>
          <w:rFonts w:ascii="Verdana" w:eastAsia="Verdana" w:hAnsi="Verdana" w:cs="Verdana"/>
          <w:b/>
          <w:sz w:val="24"/>
          <w:szCs w:val="24"/>
          <w:highlight w:val="green"/>
          <w:u w:val="single"/>
        </w:rPr>
      </w:pPr>
    </w:p>
    <w:p w:rsidR="0044477D" w:rsidRDefault="00D91A1E">
      <w:pPr>
        <w:rPr>
          <w:rFonts w:ascii="Verdana" w:eastAsia="Verdana" w:hAnsi="Verdana" w:cs="Verdana"/>
          <w:b/>
          <w:sz w:val="24"/>
          <w:szCs w:val="24"/>
          <w:highlight w:val="green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Why am I using Khan </w:t>
      </w:r>
      <w:proofErr w:type="gramStart"/>
      <w:r>
        <w:rPr>
          <w:rFonts w:ascii="Verdana" w:eastAsia="Verdana" w:hAnsi="Verdana" w:cs="Verdana"/>
          <w:b/>
          <w:sz w:val="24"/>
          <w:szCs w:val="24"/>
          <w:u w:val="single"/>
        </w:rPr>
        <w:t>Academy</w:t>
      </w:r>
      <w:proofErr w:type="gramEnd"/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 are no longer living in a time where textbooks hold all</w:t>
      </w:r>
      <w:r>
        <w:rPr>
          <w:rFonts w:ascii="Verdana" w:eastAsia="Verdana" w:hAnsi="Verdana" w:cs="Verdana"/>
          <w:sz w:val="20"/>
          <w:szCs w:val="20"/>
        </w:rPr>
        <w:t xml:space="preserve"> the information we need. Instead we </w:t>
      </w:r>
      <w:proofErr w:type="gramStart"/>
      <w:r>
        <w:rPr>
          <w:rFonts w:ascii="Verdana" w:eastAsia="Verdana" w:hAnsi="Verdana" w:cs="Verdana"/>
          <w:sz w:val="20"/>
          <w:szCs w:val="20"/>
        </w:rPr>
        <w:t>are able 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access an abundance of resources through our devices that allow us to learn in a meaningful and individualized way. With Khan Academy, students </w:t>
      </w:r>
      <w:proofErr w:type="gramStart"/>
      <w:r>
        <w:rPr>
          <w:rFonts w:ascii="Verdana" w:eastAsia="Verdana" w:hAnsi="Verdana" w:cs="Verdana"/>
          <w:sz w:val="20"/>
          <w:szCs w:val="20"/>
        </w:rPr>
        <w:t>are able 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access extra videos explaining concepts that studen</w:t>
      </w:r>
      <w:r>
        <w:rPr>
          <w:rFonts w:ascii="Verdana" w:eastAsia="Verdana" w:hAnsi="Verdana" w:cs="Verdana"/>
          <w:sz w:val="20"/>
          <w:szCs w:val="20"/>
        </w:rPr>
        <w:t>ts may need extra individual practice on with their library of over 150,000 interactive exercises.</w:t>
      </w:r>
      <w:r w:rsidR="001F41D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1242C"/>
          <w:sz w:val="20"/>
          <w:szCs w:val="20"/>
          <w:highlight w:val="white"/>
        </w:rPr>
        <w:t>Both students and teachers have access to dashboards, where they can view learning progress on Khan Academy. Students can track their own progress, and teache</w:t>
      </w:r>
      <w:r>
        <w:rPr>
          <w:rFonts w:ascii="Verdana" w:eastAsia="Verdana" w:hAnsi="Verdana" w:cs="Verdana"/>
          <w:color w:val="21242C"/>
          <w:sz w:val="20"/>
          <w:szCs w:val="20"/>
          <w:highlight w:val="white"/>
        </w:rPr>
        <w:t>rs can see how their students are doing.</w:t>
      </w:r>
    </w:p>
    <w:p w:rsidR="0044477D" w:rsidRDefault="0044477D">
      <w:pPr>
        <w:rPr>
          <w:rFonts w:ascii="Verdana" w:eastAsia="Verdana" w:hAnsi="Verdana" w:cs="Verdana"/>
          <w:b/>
          <w:sz w:val="24"/>
          <w:szCs w:val="24"/>
          <w:highlight w:val="green"/>
          <w:u w:val="single"/>
        </w:rPr>
      </w:pPr>
    </w:p>
    <w:p w:rsidR="0044477D" w:rsidRDefault="0044477D">
      <w:pPr>
        <w:rPr>
          <w:rFonts w:ascii="Verdana" w:eastAsia="Verdana" w:hAnsi="Verdana" w:cs="Verdana"/>
          <w:b/>
          <w:sz w:val="24"/>
          <w:szCs w:val="24"/>
          <w:highlight w:val="green"/>
          <w:u w:val="single"/>
        </w:rPr>
      </w:pPr>
    </w:p>
    <w:p w:rsidR="0044477D" w:rsidRDefault="00D91A1E">
      <w:pPr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Risks that Could Arise</w:t>
      </w:r>
    </w:p>
    <w:p w:rsidR="0044477D" w:rsidRDefault="00D91A1E">
      <w:pPr>
        <w:ind w:hanging="360"/>
        <w:rPr>
          <w:rFonts w:ascii="Verdana" w:eastAsia="Verdana" w:hAnsi="Verdana" w:cs="Verdana"/>
          <w:color w:val="111111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</w:t>
      </w:r>
      <w:r>
        <w:rPr>
          <w:rFonts w:ascii="Verdana" w:eastAsia="Verdana" w:hAnsi="Verdana" w:cs="Verdana"/>
          <w:color w:val="111111"/>
          <w:sz w:val="20"/>
          <w:szCs w:val="20"/>
          <w:highlight w:val="white"/>
        </w:rPr>
        <w:t>Khan Academy Privacy Principles are fueled by their commitment to the following Privacy Principles:</w:t>
      </w:r>
    </w:p>
    <w:p w:rsidR="0044477D" w:rsidRDefault="00D91A1E">
      <w:pPr>
        <w:numPr>
          <w:ilvl w:val="0"/>
          <w:numId w:val="2"/>
        </w:numPr>
        <w:spacing w:after="340" w:line="336" w:lineRule="auto"/>
        <w:ind w:left="1020"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They’re deeply committed to creating a safe and secure online environment for you.</w:t>
      </w:r>
    </w:p>
    <w:p w:rsidR="0044477D" w:rsidRDefault="00D91A1E">
      <w:pPr>
        <w:numPr>
          <w:ilvl w:val="0"/>
          <w:numId w:val="2"/>
        </w:numPr>
        <w:spacing w:after="340" w:line="336" w:lineRule="auto"/>
        <w:ind w:left="1020"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They do not sell your personal information to third parties. They established themselves as a not-for-profit organization so that their mission of education and your trust will not </w:t>
      </w:r>
      <w:proofErr w:type="gramStart"/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be in conflict with</w:t>
      </w:r>
      <w:proofErr w:type="gramEnd"/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 a for-profit motive.</w:t>
      </w:r>
    </w:p>
    <w:p w:rsidR="0044477D" w:rsidRDefault="00D91A1E">
      <w:pPr>
        <w:numPr>
          <w:ilvl w:val="0"/>
          <w:numId w:val="2"/>
        </w:numPr>
        <w:spacing w:after="340" w:line="336" w:lineRule="auto"/>
        <w:ind w:left="1020"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They strive to provide you with ac</w:t>
      </w: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cess to and control over the information you give them, and they take the protection of your information very seriously.</w:t>
      </w:r>
    </w:p>
    <w:p w:rsidR="0044477D" w:rsidRDefault="00D91A1E">
      <w:pPr>
        <w:numPr>
          <w:ilvl w:val="0"/>
          <w:numId w:val="2"/>
        </w:numPr>
        <w:spacing w:after="340" w:line="336" w:lineRule="auto"/>
        <w:ind w:left="1020"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They take extra precautions for their younger learners under the age of 13, including restricting child accounts to automatically block</w:t>
      </w: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 features that would allow a child to post or disclose personal information.</w:t>
      </w:r>
    </w:p>
    <w:p w:rsidR="0044477D" w:rsidRDefault="00D91A1E">
      <w:pPr>
        <w:numPr>
          <w:ilvl w:val="0"/>
          <w:numId w:val="2"/>
        </w:numPr>
        <w:spacing w:after="340" w:line="336" w:lineRule="auto"/>
        <w:ind w:left="1020"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They do not advertise on Khan Academy. They use your information to provide you with a better learning experience, not to sell you products.</w:t>
      </w:r>
    </w:p>
    <w:p w:rsidR="0044477D" w:rsidRDefault="00D91A1E">
      <w:pPr>
        <w:spacing w:after="340" w:line="336" w:lineRule="auto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With those points, it is still suggest</w:t>
      </w: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ed that students only use what is </w:t>
      </w:r>
      <w:proofErr w:type="gramStart"/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>absolutely necessary</w:t>
      </w:r>
      <w:proofErr w:type="gramEnd"/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 to register to use the website. Student’s information is kept completely secured but it is always a good practice to keep as much personal information private as possible.</w:t>
      </w:r>
    </w:p>
    <w:p w:rsidR="0044477D" w:rsidRDefault="00D91A1E">
      <w:pPr>
        <w:rPr>
          <w:rFonts w:ascii="Verdana" w:eastAsia="Verdana" w:hAnsi="Verdana" w:cs="Verdana"/>
          <w:color w:val="0000FF"/>
          <w:sz w:val="17"/>
          <w:szCs w:val="17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PIPPA Information can be foun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d on the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School Acceptable Use Policy</w:t>
      </w:r>
      <w:hyperlink r:id="rId7"/>
    </w:p>
    <w:p w:rsidR="001F41D1" w:rsidRDefault="001F41D1">
      <w:pPr>
        <w:rPr>
          <w:rFonts w:ascii="Verdana" w:eastAsia="Verdana" w:hAnsi="Verdana" w:cs="Verdana"/>
          <w:b/>
          <w:sz w:val="36"/>
          <w:szCs w:val="36"/>
        </w:rPr>
      </w:pPr>
    </w:p>
    <w:p w:rsidR="001F41D1" w:rsidRDefault="001F41D1">
      <w:pPr>
        <w:rPr>
          <w:rFonts w:ascii="Verdana" w:eastAsia="Verdana" w:hAnsi="Verdana" w:cs="Verdana"/>
          <w:b/>
          <w:sz w:val="36"/>
          <w:szCs w:val="36"/>
        </w:rPr>
      </w:pPr>
    </w:p>
    <w:p w:rsidR="0044477D" w:rsidRDefault="00D91A1E">
      <w:pPr>
        <w:rPr>
          <w:rFonts w:ascii="Verdana" w:eastAsia="Verdana" w:hAnsi="Verdana" w:cs="Verdana"/>
          <w:b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6"/>
          <w:szCs w:val="36"/>
        </w:rPr>
        <w:lastRenderedPageBreak/>
        <w:t>Informed Consent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Khan Academy is a great tool for providing individualized learning in the math classroom. The use of th</w:t>
      </w:r>
      <w:r>
        <w:rPr>
          <w:rFonts w:ascii="Verdana" w:eastAsia="Verdana" w:hAnsi="Verdana" w:cs="Verdana"/>
          <w:sz w:val="20"/>
          <w:szCs w:val="20"/>
        </w:rPr>
        <w:t xml:space="preserve">is web 2.0 tool also helps to eliminate the need for textbooks which are outdated, heavy and static. The dynamic interface has tutorial videos, practice questions and missions which adapt </w:t>
      </w:r>
      <w:r>
        <w:rPr>
          <w:rFonts w:ascii="Verdana" w:eastAsia="Verdana" w:hAnsi="Verdana" w:cs="Verdana"/>
          <w:color w:val="21242C"/>
          <w:sz w:val="20"/>
          <w:szCs w:val="20"/>
          <w:highlight w:val="white"/>
        </w:rPr>
        <w:t>to students' needs by recommending new skills on their dashboards ba</w:t>
      </w:r>
      <w:r>
        <w:rPr>
          <w:rFonts w:ascii="Verdana" w:eastAsia="Verdana" w:hAnsi="Verdana" w:cs="Verdana"/>
          <w:color w:val="21242C"/>
          <w:sz w:val="20"/>
          <w:szCs w:val="20"/>
          <w:highlight w:val="white"/>
        </w:rPr>
        <w:t>sed on their math history on Khan Academy.</w:t>
      </w:r>
    </w:p>
    <w:p w:rsidR="0044477D" w:rsidRDefault="0044477D">
      <w:pPr>
        <w:rPr>
          <w:rFonts w:ascii="Verdana" w:eastAsia="Verdana" w:hAnsi="Verdana" w:cs="Verdana"/>
          <w:sz w:val="20"/>
          <w:szCs w:val="20"/>
        </w:rPr>
      </w:pP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Students will use Khan Academy to:</w:t>
      </w:r>
    </w:p>
    <w:p w:rsidR="0044477D" w:rsidRDefault="00D91A1E">
      <w:pPr>
        <w:numPr>
          <w:ilvl w:val="0"/>
          <w:numId w:val="3"/>
        </w:numPr>
        <w:spacing w:after="480" w:line="360" w:lineRule="auto"/>
        <w:ind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learn at their own pace,</w:t>
      </w:r>
    </w:p>
    <w:p w:rsidR="0044477D" w:rsidRDefault="00D91A1E">
      <w:pPr>
        <w:numPr>
          <w:ilvl w:val="0"/>
          <w:numId w:val="3"/>
        </w:numPr>
        <w:spacing w:after="480" w:line="360" w:lineRule="auto"/>
        <w:ind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master skills that are challenging and appropriate for their level or reinforce prior skills,</w:t>
      </w:r>
    </w:p>
    <w:p w:rsidR="0044477D" w:rsidRDefault="00D91A1E">
      <w:pPr>
        <w:numPr>
          <w:ilvl w:val="0"/>
          <w:numId w:val="3"/>
        </w:numPr>
        <w:spacing w:after="480" w:line="360" w:lineRule="auto"/>
        <w:ind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use hints and videos immediately when they need help, and</w:t>
      </w:r>
    </w:p>
    <w:p w:rsidR="0044477D" w:rsidRDefault="00D91A1E">
      <w:pPr>
        <w:numPr>
          <w:ilvl w:val="0"/>
          <w:numId w:val="3"/>
        </w:numPr>
        <w:spacing w:after="480" w:line="360" w:lineRule="auto"/>
        <w:ind w:hanging="360"/>
        <w:contextualSpacing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earn points, badges, and unlock fun avatars as an added motivation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Guidelines for using Khan Academy:</w:t>
      </w:r>
    </w:p>
    <w:p w:rsidR="0044477D" w:rsidRDefault="00D91A1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Students will only use the minimal information necessary to register for the website</w:t>
      </w:r>
    </w:p>
    <w:p w:rsidR="0044477D" w:rsidRDefault="00D91A1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Students will not share their user name or information with anyone el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choose one of the following, if you feel that you do not have enough information to make an informed decision, please contact me to discuss further: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  <w:highlight w:val="green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[  ]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My child agrees to the rules for using Khan Academy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[  ]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 do not agree to the use of</w:t>
      </w:r>
      <w:r>
        <w:rPr>
          <w:rFonts w:ascii="Verdana" w:eastAsia="Verdana" w:hAnsi="Verdana" w:cs="Verdana"/>
          <w:sz w:val="20"/>
          <w:szCs w:val="20"/>
        </w:rPr>
        <w:t xml:space="preserve"> Khan Academy and I am aware it may result in separate assignment(s).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 understand the privacy risks and management strategies as they have been shared with us.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                            __________________________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</w:t>
      </w:r>
      <w:r>
        <w:rPr>
          <w:rFonts w:ascii="Verdana" w:eastAsia="Verdana" w:hAnsi="Verdana" w:cs="Verdana"/>
          <w:sz w:val="20"/>
          <w:szCs w:val="20"/>
        </w:rPr>
        <w:t>ent Signature                                                               Date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                          __________________________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 Signature                                                             Date</w:t>
      </w:r>
    </w:p>
    <w:p w:rsidR="0044477D" w:rsidRDefault="00D91A1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4477D" w:rsidRDefault="00D91A1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</w:rPr>
        <w:t xml:space="preserve"> </w:t>
      </w:r>
    </w:p>
    <w:p w:rsidR="0044477D" w:rsidRDefault="0044477D">
      <w:pPr>
        <w:rPr>
          <w:rFonts w:ascii="Verdana" w:eastAsia="Verdana" w:hAnsi="Verdana" w:cs="Verdana"/>
          <w:sz w:val="23"/>
          <w:szCs w:val="23"/>
        </w:rPr>
      </w:pPr>
    </w:p>
    <w:p w:rsidR="0044477D" w:rsidRDefault="00D91A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545454"/>
          <w:highlight w:val="white"/>
        </w:rPr>
        <w:t>By typing your name on the line above, you agree that it is to be a representation of your physical signature.</w:t>
      </w:r>
    </w:p>
    <w:sectPr w:rsidR="0044477D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1E" w:rsidRDefault="00D91A1E">
      <w:pPr>
        <w:spacing w:line="240" w:lineRule="auto"/>
      </w:pPr>
      <w:r>
        <w:separator/>
      </w:r>
    </w:p>
  </w:endnote>
  <w:endnote w:type="continuationSeparator" w:id="0">
    <w:p w:rsidR="00D91A1E" w:rsidRDefault="00D9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7D" w:rsidRDefault="00D91A1E">
    <w:r>
      <w:rPr>
        <w:sz w:val="23"/>
        <w:szCs w:val="23"/>
      </w:rPr>
      <w:t>Changes may occur; this document is current as of terms of service on August 29,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1E" w:rsidRDefault="00D91A1E">
      <w:pPr>
        <w:spacing w:line="240" w:lineRule="auto"/>
      </w:pPr>
      <w:r>
        <w:separator/>
      </w:r>
    </w:p>
  </w:footnote>
  <w:footnote w:type="continuationSeparator" w:id="0">
    <w:p w:rsidR="00D91A1E" w:rsidRDefault="00D91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F77"/>
    <w:multiLevelType w:val="multilevel"/>
    <w:tmpl w:val="66A2D3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F2A2889"/>
    <w:multiLevelType w:val="multilevel"/>
    <w:tmpl w:val="94D660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64A6599"/>
    <w:multiLevelType w:val="multilevel"/>
    <w:tmpl w:val="B2063B98"/>
    <w:lvl w:ilvl="0">
      <w:start w:val="1"/>
      <w:numFmt w:val="decimal"/>
      <w:lvlText w:val="%1."/>
      <w:lvlJc w:val="left"/>
      <w:pPr>
        <w:ind w:left="720" w:firstLine="360"/>
      </w:pPr>
      <w:rPr>
        <w:rFonts w:ascii="Proxima Nova" w:eastAsia="Proxima Nova" w:hAnsi="Proxima Nova" w:cs="Proxima Nova"/>
        <w:color w:val="444444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D"/>
    <w:rsid w:val="001F41D1"/>
    <w:rsid w:val="0044477D"/>
    <w:rsid w:val="00D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D852"/>
  <w15:docId w15:val="{B435EE08-7D4E-4D45-BBAB-32FB2BE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u.ca/education/faculty/profiles/hengstler_j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2</cp:revision>
  <dcterms:created xsi:type="dcterms:W3CDTF">2017-04-21T04:53:00Z</dcterms:created>
  <dcterms:modified xsi:type="dcterms:W3CDTF">2017-04-21T04:53:00Z</dcterms:modified>
</cp:coreProperties>
</file>